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CEBA1" w14:textId="77777777" w:rsidR="00CD48CE" w:rsidRPr="000227E4" w:rsidRDefault="00CD48CE" w:rsidP="000227E4">
      <w:pPr>
        <w:pStyle w:val="NormaleWeb"/>
        <w:spacing w:before="0" w:beforeAutospacing="0" w:after="242" w:afterAutospacing="0"/>
        <w:jc w:val="center"/>
        <w:rPr>
          <w:rFonts w:cs="Times New Roman"/>
          <w:color w:val="EE0000"/>
        </w:rPr>
      </w:pPr>
      <w:r w:rsidRPr="000227E4">
        <w:rPr>
          <w:rFonts w:cs="Times New Roman"/>
          <w:b/>
          <w:bCs/>
          <w:color w:val="EE0000"/>
        </w:rPr>
        <w:t>Regolamento europeo sugli imballaggi: la PPWR entra in applicazione</w:t>
      </w:r>
    </w:p>
    <w:p w14:paraId="39A85116" w14:textId="77777777" w:rsidR="00CD48CE" w:rsidRPr="000227E4" w:rsidRDefault="00CD48CE" w:rsidP="000227E4">
      <w:pPr>
        <w:pStyle w:val="NormaleWeb"/>
        <w:spacing w:before="0" w:beforeAutospacing="0" w:after="180" w:afterAutospacing="0"/>
        <w:jc w:val="both"/>
        <w:rPr>
          <w:rFonts w:cs="Times New Roman"/>
        </w:rPr>
      </w:pPr>
      <w:r w:rsidRPr="000227E4">
        <w:rPr>
          <w:rFonts w:cs="Times New Roman"/>
          <w:b/>
          <w:bCs/>
        </w:rPr>
        <w:t xml:space="preserve">13 agosto 2026 – Fonte: </w:t>
      </w:r>
      <w:proofErr w:type="spellStart"/>
      <w:r w:rsidRPr="000227E4">
        <w:rPr>
          <w:rFonts w:cs="Times New Roman"/>
          <w:b/>
          <w:bCs/>
        </w:rPr>
        <w:t>Handelsverband</w:t>
      </w:r>
      <w:proofErr w:type="spellEnd"/>
      <w:r w:rsidRPr="000227E4">
        <w:rPr>
          <w:rFonts w:cs="Times New Roman"/>
          <w:b/>
          <w:bCs/>
        </w:rPr>
        <w:t xml:space="preserve"> </w:t>
      </w:r>
      <w:proofErr w:type="spellStart"/>
      <w:r w:rsidRPr="000227E4">
        <w:rPr>
          <w:rFonts w:cs="Times New Roman"/>
          <w:b/>
          <w:bCs/>
        </w:rPr>
        <w:t>Wohnen</w:t>
      </w:r>
      <w:proofErr w:type="spellEnd"/>
      <w:r w:rsidRPr="000227E4">
        <w:rPr>
          <w:rFonts w:cs="Times New Roman"/>
          <w:b/>
          <w:bCs/>
        </w:rPr>
        <w:t xml:space="preserve"> und </w:t>
      </w:r>
      <w:proofErr w:type="spellStart"/>
      <w:r w:rsidRPr="000227E4">
        <w:rPr>
          <w:rFonts w:cs="Times New Roman"/>
          <w:b/>
          <w:bCs/>
        </w:rPr>
        <w:t>Büro</w:t>
      </w:r>
      <w:proofErr w:type="spellEnd"/>
      <w:r w:rsidRPr="000227E4">
        <w:rPr>
          <w:rFonts w:cs="Times New Roman"/>
          <w:b/>
          <w:bCs/>
        </w:rPr>
        <w:t xml:space="preserve"> (HWB), Germania</w:t>
      </w:r>
    </w:p>
    <w:p w14:paraId="093B8B6B" w14:textId="77777777" w:rsidR="00CD48CE" w:rsidRPr="000227E4" w:rsidRDefault="00CD48CE" w:rsidP="000227E4">
      <w:pPr>
        <w:pStyle w:val="NormaleWeb"/>
        <w:spacing w:before="0" w:beforeAutospacing="0" w:after="180" w:afterAutospacing="0"/>
        <w:jc w:val="both"/>
      </w:pPr>
      <w:r w:rsidRPr="000227E4">
        <w:rPr>
          <w:rFonts w:cs="Times New Roman"/>
        </w:rPr>
        <w:t xml:space="preserve">Dal </w:t>
      </w:r>
      <w:r w:rsidRPr="000227E4">
        <w:rPr>
          <w:rFonts w:cs="Times New Roman"/>
          <w:b/>
          <w:bCs/>
        </w:rPr>
        <w:t>12 agosto 2026</w:t>
      </w:r>
      <w:r w:rsidRPr="000227E4">
        <w:rPr>
          <w:rFonts w:cs="Times New Roman"/>
        </w:rPr>
        <w:t xml:space="preserve"> è diventato sostanzialmente applicabile il nuovo </w:t>
      </w:r>
      <w:r w:rsidRPr="000227E4">
        <w:rPr>
          <w:rFonts w:cs="Times New Roman"/>
          <w:b/>
          <w:bCs/>
        </w:rPr>
        <w:t xml:space="preserve">Regolamento europeo sugli imballaggi e i rifiuti di imballaggio (PPWR – Packaging and Packaging Waste </w:t>
      </w:r>
      <w:proofErr w:type="spellStart"/>
      <w:r w:rsidRPr="000227E4">
        <w:rPr>
          <w:rFonts w:cs="Times New Roman"/>
          <w:b/>
          <w:bCs/>
        </w:rPr>
        <w:t>Regulation</w:t>
      </w:r>
      <w:proofErr w:type="spellEnd"/>
      <w:r w:rsidRPr="000227E4">
        <w:rPr>
          <w:rFonts w:cs="Times New Roman"/>
          <w:b/>
          <w:bCs/>
        </w:rPr>
        <w:t>)</w:t>
      </w:r>
      <w:r w:rsidRPr="000227E4">
        <w:rPr>
          <w:rFonts w:cs="Times New Roman"/>
        </w:rPr>
        <w:t>.</w:t>
      </w:r>
    </w:p>
    <w:p w14:paraId="4C6033DB" w14:textId="77777777" w:rsidR="00CD48CE" w:rsidRPr="000227E4" w:rsidRDefault="00CD48CE" w:rsidP="000227E4">
      <w:pPr>
        <w:pStyle w:val="NormaleWeb"/>
        <w:spacing w:before="0" w:beforeAutospacing="0" w:after="180" w:afterAutospacing="0"/>
        <w:jc w:val="both"/>
      </w:pPr>
      <w:r w:rsidRPr="000227E4">
        <w:rPr>
          <w:rFonts w:cs="Times New Roman"/>
        </w:rPr>
        <w:t xml:space="preserve">Per le imprese del commercio si apre una nuova fase, caratterizzata da </w:t>
      </w:r>
      <w:r w:rsidRPr="000227E4">
        <w:rPr>
          <w:rFonts w:cs="Times New Roman"/>
          <w:b/>
          <w:bCs/>
        </w:rPr>
        <w:t>nuovi requisiti per gli imballaggi, maggiori obblighi informativi e documentali e, in prospettiva, norme più stringenti sulla riciclabilità</w:t>
      </w:r>
      <w:r w:rsidRPr="000227E4">
        <w:rPr>
          <w:rFonts w:cs="Times New Roman"/>
        </w:rPr>
        <w:t>.</w:t>
      </w:r>
    </w:p>
    <w:p w14:paraId="21B223F0" w14:textId="77777777" w:rsidR="00CD48CE" w:rsidRPr="000227E4" w:rsidRDefault="00CD48CE" w:rsidP="000227E4">
      <w:pPr>
        <w:pStyle w:val="NormaleWeb"/>
        <w:spacing w:before="0" w:beforeAutospacing="0" w:after="180" w:afterAutospacing="0"/>
        <w:jc w:val="both"/>
      </w:pPr>
      <w:r w:rsidRPr="000227E4">
        <w:rPr>
          <w:rFonts w:cs="Times New Roman"/>
        </w:rPr>
        <w:t xml:space="preserve">Il </w:t>
      </w:r>
      <w:proofErr w:type="spellStart"/>
      <w:r w:rsidRPr="000227E4">
        <w:rPr>
          <w:rFonts w:cs="Times New Roman"/>
          <w:b/>
          <w:bCs/>
        </w:rPr>
        <w:t>Handelsverband</w:t>
      </w:r>
      <w:proofErr w:type="spellEnd"/>
      <w:r w:rsidRPr="000227E4">
        <w:rPr>
          <w:rFonts w:cs="Times New Roman"/>
          <w:b/>
          <w:bCs/>
        </w:rPr>
        <w:t xml:space="preserve"> </w:t>
      </w:r>
      <w:proofErr w:type="spellStart"/>
      <w:r w:rsidRPr="000227E4">
        <w:rPr>
          <w:rFonts w:cs="Times New Roman"/>
          <w:b/>
          <w:bCs/>
        </w:rPr>
        <w:t>Wohnen</w:t>
      </w:r>
      <w:proofErr w:type="spellEnd"/>
      <w:r w:rsidRPr="000227E4">
        <w:rPr>
          <w:rFonts w:cs="Times New Roman"/>
          <w:b/>
          <w:bCs/>
        </w:rPr>
        <w:t xml:space="preserve"> und </w:t>
      </w:r>
      <w:proofErr w:type="spellStart"/>
      <w:r w:rsidRPr="000227E4">
        <w:rPr>
          <w:rFonts w:cs="Times New Roman"/>
          <w:b/>
          <w:bCs/>
        </w:rPr>
        <w:t>Büro</w:t>
      </w:r>
      <w:proofErr w:type="spellEnd"/>
      <w:r w:rsidRPr="000227E4">
        <w:rPr>
          <w:rFonts w:cs="Times New Roman"/>
          <w:b/>
          <w:bCs/>
        </w:rPr>
        <w:t xml:space="preserve"> (HWB)</w:t>
      </w:r>
      <w:r w:rsidRPr="000227E4">
        <w:rPr>
          <w:rFonts w:cs="Times New Roman"/>
        </w:rPr>
        <w:t>, l’associazione tedesca che rappresenta il commercio specializzato nei settori arredamento, cucina, ufficio e cultura della tavola, evidenzia però le difficoltà operative legate all’entrata in vigore della normativa.</w:t>
      </w:r>
    </w:p>
    <w:p w14:paraId="4A197DB0" w14:textId="77777777" w:rsidR="00CD48CE" w:rsidRPr="000227E4" w:rsidRDefault="00CD48CE" w:rsidP="000227E4">
      <w:pPr>
        <w:pStyle w:val="NormaleWeb"/>
        <w:spacing w:before="0" w:beforeAutospacing="0" w:after="180" w:afterAutospacing="0"/>
        <w:jc w:val="both"/>
      </w:pPr>
      <w:r w:rsidRPr="000227E4">
        <w:rPr>
          <w:rFonts w:cs="Times New Roman"/>
        </w:rPr>
        <w:t xml:space="preserve">«Se costruissimo i divani come è stata costruita la PPWR, alla fine i clienti si siederebbero per terra», ha commentato </w:t>
      </w:r>
      <w:r w:rsidRPr="000227E4">
        <w:rPr>
          <w:rFonts w:cs="Times New Roman"/>
          <w:b/>
          <w:bCs/>
        </w:rPr>
        <w:t>Jean Lucas Dürand</w:t>
      </w:r>
      <w:r w:rsidRPr="000227E4">
        <w:rPr>
          <w:rFonts w:cs="Times New Roman"/>
        </w:rPr>
        <w:t>, responsabile BVDM/HBS presso HWB, sottolineando come alcune importanti questioni applicative siano state chiarite solo pochi giorni prima dell’entrata in vigore del regolamento.</w:t>
      </w:r>
    </w:p>
    <w:p w14:paraId="4EF79810" w14:textId="77777777" w:rsidR="00CD48CE" w:rsidRPr="000227E4" w:rsidRDefault="00CD48CE" w:rsidP="000227E4">
      <w:pPr>
        <w:pStyle w:val="NormaleWeb"/>
        <w:spacing w:before="0" w:beforeAutospacing="0" w:after="180" w:afterAutospacing="0"/>
        <w:jc w:val="both"/>
      </w:pPr>
      <w:r w:rsidRPr="000227E4">
        <w:rPr>
          <w:rFonts w:cs="Times New Roman"/>
        </w:rPr>
        <w:t xml:space="preserve">Secondo HWB, </w:t>
      </w:r>
      <w:r w:rsidRPr="000227E4">
        <w:rPr>
          <w:rFonts w:cs="Times New Roman"/>
          <w:b/>
          <w:bCs/>
        </w:rPr>
        <w:t>permangono ancora alcuni aspetti da chiarire</w:t>
      </w:r>
      <w:r w:rsidRPr="000227E4">
        <w:rPr>
          <w:rFonts w:cs="Times New Roman"/>
        </w:rPr>
        <w:t xml:space="preserve"> e le imprese hanno bisogno di maggiore certezza nella pianificazione e di indicazioni pratiche tempestive per poter adeguare correttamente i propri processi.</w:t>
      </w:r>
    </w:p>
    <w:p w14:paraId="0B917076" w14:textId="77777777" w:rsidR="00CD48CE" w:rsidRPr="000227E4" w:rsidRDefault="00CD48CE" w:rsidP="000227E4">
      <w:pPr>
        <w:pStyle w:val="NormaleWeb"/>
        <w:spacing w:before="0" w:beforeAutospacing="0" w:after="180" w:afterAutospacing="0"/>
        <w:jc w:val="both"/>
      </w:pPr>
      <w:r w:rsidRPr="000227E4">
        <w:rPr>
          <w:rFonts w:cs="Times New Roman"/>
        </w:rPr>
        <w:t>L’associazione ha predisposto per i propri associati una guida dedicata alla PPWR, che verrà aggiornata con le indicazioni contenute nelle più recenti FAQ della Commissione europea.</w:t>
      </w:r>
    </w:p>
    <w:p w14:paraId="65941FC1" w14:textId="77777777" w:rsidR="00CD48CE" w:rsidRPr="000227E4" w:rsidRDefault="00CD48CE" w:rsidP="000227E4">
      <w:pPr>
        <w:pStyle w:val="NormaleWeb"/>
        <w:spacing w:before="0" w:beforeAutospacing="0" w:after="210" w:afterAutospacing="0"/>
        <w:jc w:val="both"/>
        <w:rPr>
          <w:rFonts w:cs="Times New Roman"/>
        </w:rPr>
      </w:pPr>
      <w:r w:rsidRPr="000227E4">
        <w:rPr>
          <w:rFonts w:cs="Times New Roman"/>
          <w:b/>
          <w:bCs/>
        </w:rPr>
        <w:t>Perché è importante per le imprese</w:t>
      </w:r>
    </w:p>
    <w:p w14:paraId="7E93147D" w14:textId="77777777" w:rsidR="00CD48CE" w:rsidRPr="000227E4" w:rsidRDefault="00CD48CE" w:rsidP="000227E4">
      <w:pPr>
        <w:pStyle w:val="NormaleWeb"/>
        <w:spacing w:before="0" w:beforeAutospacing="0" w:after="180" w:afterAutospacing="0"/>
        <w:jc w:val="both"/>
      </w:pPr>
      <w:r w:rsidRPr="000227E4">
        <w:rPr>
          <w:rFonts w:cs="Times New Roman"/>
        </w:rPr>
        <w:t xml:space="preserve">La PPWR avrà un impatto significativo lungo la filiera, coinvolgendo </w:t>
      </w:r>
      <w:r w:rsidRPr="000227E4">
        <w:rPr>
          <w:rFonts w:cs="Times New Roman"/>
          <w:b/>
          <w:bCs/>
        </w:rPr>
        <w:t>produttori, importatori, distributori e commercianti</w:t>
      </w:r>
      <w:r w:rsidRPr="000227E4">
        <w:rPr>
          <w:rFonts w:cs="Times New Roman"/>
        </w:rPr>
        <w:t>. Le aziende dovranno prestare particolare attenzione alla gestione degli imballaggi, agli obblighi di informazione e documentazione e ai futuri requisiti di riciclabilità.</w:t>
      </w:r>
    </w:p>
    <w:p w14:paraId="6B85F665" w14:textId="77777777" w:rsidR="00CD48CE" w:rsidRDefault="00CD48CE" w:rsidP="000227E4">
      <w:pPr>
        <w:pStyle w:val="NormaleWeb"/>
        <w:spacing w:before="0" w:beforeAutospacing="0" w:after="180" w:afterAutospacing="0"/>
        <w:jc w:val="both"/>
        <w:rPr>
          <w:rFonts w:cs="Times New Roman"/>
          <w:b/>
          <w:bCs/>
        </w:rPr>
      </w:pPr>
      <w:r w:rsidRPr="000227E4">
        <w:rPr>
          <w:rFonts w:cs="Times New Roman"/>
          <w:b/>
          <w:bCs/>
        </w:rPr>
        <w:t>ART – Arti della Tavola e del Regalo continuerà a seguire l’evoluzione della normativa europea e i suoi effetti sulle imprese del settore.</w:t>
      </w:r>
    </w:p>
    <w:p w14:paraId="4EFFF5DA" w14:textId="3188B2B5" w:rsidR="003B25E1" w:rsidRPr="000227E4" w:rsidRDefault="006A7193" w:rsidP="000227E4">
      <w:pPr>
        <w:pStyle w:val="NormaleWeb"/>
        <w:spacing w:before="0" w:beforeAutospacing="0" w:after="180" w:afterAutospacing="0"/>
        <w:jc w:val="both"/>
        <w:rPr>
          <w:rFonts w:cs="Times New Roman"/>
        </w:rPr>
      </w:pPr>
      <w:hyperlink r:id="rId4" w:history="1">
        <w:hyperlink r:id="rId5" w:history="1">
          <w:r w:rsidR="003B25E1" w:rsidRPr="006A7193">
            <w:rPr>
              <w:rStyle w:val="Collegamentoipertestuale"/>
              <w:rFonts w:cs="Times New Roman"/>
              <w:b/>
              <w:bCs/>
            </w:rPr>
            <w:t>APPROFONDISCI QUI</w:t>
          </w:r>
        </w:hyperlink>
      </w:hyperlink>
    </w:p>
    <w:p w14:paraId="58AD3CFA" w14:textId="77777777" w:rsidR="000E166D" w:rsidRPr="000227E4" w:rsidRDefault="000E166D" w:rsidP="000227E4">
      <w:pPr>
        <w:jc w:val="both"/>
        <w:rPr>
          <w:rFonts w:ascii="Aptos" w:hAnsi="Aptos"/>
        </w:rPr>
      </w:pPr>
    </w:p>
    <w:sectPr w:rsidR="000E166D" w:rsidRPr="000227E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8CE"/>
    <w:rsid w:val="000227E4"/>
    <w:rsid w:val="000E166D"/>
    <w:rsid w:val="001F0755"/>
    <w:rsid w:val="003B25E1"/>
    <w:rsid w:val="005F023D"/>
    <w:rsid w:val="006A7193"/>
    <w:rsid w:val="0091367C"/>
    <w:rsid w:val="00CD48CE"/>
    <w:rsid w:val="00F32FFD"/>
    <w:rsid w:val="00F75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C0CCA"/>
  <w15:chartTrackingRefBased/>
  <w15:docId w15:val="{3479765B-1EB8-4A54-BA39-A8B7CE519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D48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D48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D48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D48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D48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D48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D48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D48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D48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D48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D48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D48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D48C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D48C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D48C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D48C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D48C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D48C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D48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D48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D48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D48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D48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D48C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D48C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D48C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D48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D48C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D48CE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CD48CE"/>
    <w:pPr>
      <w:spacing w:before="100" w:beforeAutospacing="1" w:after="100" w:afterAutospacing="1" w:line="240" w:lineRule="auto"/>
    </w:pPr>
    <w:rPr>
      <w:rFonts w:ascii="Aptos" w:hAnsi="Aptos" w:cs="Aptos"/>
      <w:kern w:val="0"/>
      <w:lang w:eastAsia="it-IT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3B25E1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B25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art-tavolaregalo.it/2026/07/20/art-informa-23-giugno-2026/" TargetMode="External"/><Relationship Id="rId4" Type="http://schemas.openxmlformats.org/officeDocument/2006/relationships/hyperlink" Target="https://art-tavolaregalo.it/2026/07/20/art-informa-23-giugno-2026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321</Words>
  <Characters>1836</Characters>
  <Application>Microsoft Office Word</Application>
  <DocSecurity>0</DocSecurity>
  <Lines>15</Lines>
  <Paragraphs>4</Paragraphs>
  <ScaleCrop>false</ScaleCrop>
  <Company/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 Sgarella</dc:creator>
  <cp:keywords/>
  <dc:description/>
  <cp:lastModifiedBy>Veronica Sgarella</cp:lastModifiedBy>
  <cp:revision>5</cp:revision>
  <dcterms:created xsi:type="dcterms:W3CDTF">2026-09-01T10:14:00Z</dcterms:created>
  <dcterms:modified xsi:type="dcterms:W3CDTF">2026-09-01T11:36:00Z</dcterms:modified>
</cp:coreProperties>
</file>